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D717FE" w14:textId="77777777" w:rsidR="00AA608B" w:rsidRPr="00597979" w:rsidRDefault="00320E27" w:rsidP="00AA608B">
      <w:pPr>
        <w:rPr>
          <w:rFonts w:cs="Times New Roman"/>
          <w:i/>
          <w:lang w:val="it-IT"/>
        </w:rPr>
      </w:pPr>
      <w:r>
        <w:rPr>
          <w:rFonts w:eastAsia="Times New Roman" w:cs="Times New Roman"/>
          <w:i/>
          <w:iCs/>
          <w:lang w:val="en-GB"/>
        </w:rPr>
        <w:t>Press release no. 14</w:t>
      </w:r>
    </w:p>
    <w:p w14:paraId="60C016E1" w14:textId="77777777" w:rsidR="001513DE" w:rsidRPr="003C5D75" w:rsidRDefault="001513DE" w:rsidP="001513DE">
      <w:pPr>
        <w:jc w:val="both"/>
        <w:rPr>
          <w:rFonts w:cs="Times New Roman"/>
          <w:b/>
          <w:sz w:val="28"/>
          <w:szCs w:val="28"/>
          <w:lang w:val="it-IT"/>
        </w:rPr>
      </w:pPr>
    </w:p>
    <w:p w14:paraId="443AAB00" w14:textId="77777777" w:rsidR="003C5D75" w:rsidRPr="003C5D75" w:rsidRDefault="00320E27" w:rsidP="003C5D75">
      <w:pPr>
        <w:jc w:val="both"/>
        <w:rPr>
          <w:rFonts w:cs="Times New Roman"/>
          <w:b/>
          <w:sz w:val="28"/>
          <w:szCs w:val="28"/>
          <w:lang w:val="it-IT"/>
        </w:rPr>
      </w:pPr>
      <w:r>
        <w:rPr>
          <w:rFonts w:eastAsia="Times New Roman" w:cs="Times New Roman"/>
          <w:b/>
          <w:bCs/>
          <w:sz w:val="28"/>
          <w:szCs w:val="28"/>
          <w:lang w:val="en-GB"/>
        </w:rPr>
        <w:t>EDP, a calendar full of events</w:t>
      </w:r>
    </w:p>
    <w:p w14:paraId="19BF031B" w14:textId="77777777" w:rsidR="003C5D75" w:rsidRPr="003C5D75" w:rsidRDefault="003C5D75" w:rsidP="003C5D75">
      <w:pPr>
        <w:jc w:val="both"/>
        <w:rPr>
          <w:rFonts w:cs="Times New Roman"/>
          <w:b/>
          <w:lang w:val="it-IT"/>
        </w:rPr>
      </w:pPr>
    </w:p>
    <w:p w14:paraId="4FE6F00F" w14:textId="77777777" w:rsidR="003C5D75" w:rsidRPr="003C5D75" w:rsidRDefault="00320E27" w:rsidP="003C5D75">
      <w:pPr>
        <w:jc w:val="both"/>
        <w:rPr>
          <w:rFonts w:cs="Times New Roman"/>
          <w:b/>
          <w:i/>
          <w:lang w:val="it-IT"/>
        </w:rPr>
      </w:pPr>
      <w:r>
        <w:rPr>
          <w:rFonts w:eastAsia="Times New Roman" w:cs="Times New Roman"/>
          <w:b/>
          <w:bCs/>
          <w:i/>
          <w:iCs/>
          <w:lang w:val="en-GB"/>
        </w:rPr>
        <w:t xml:space="preserve">While the virtual stands are being set up </w:t>
      </w:r>
      <w:r>
        <w:rPr>
          <w:rFonts w:eastAsia="Times New Roman" w:cs="Times New Roman"/>
          <w:b/>
          <w:bCs/>
          <w:i/>
          <w:iCs/>
          <w:lang w:val="en-GB"/>
        </w:rPr>
        <w:t>by the exhibiting companies and the registration of visitors to the EDP platform continue at full speed, the thematic events that will take place online during the exhibition, from 11 to 15 November, are also being defined. To date, more than 70 meetings a</w:t>
      </w:r>
      <w:r>
        <w:rPr>
          <w:rFonts w:eastAsia="Times New Roman" w:cs="Times New Roman"/>
          <w:b/>
          <w:bCs/>
          <w:i/>
          <w:iCs/>
          <w:lang w:val="en-GB"/>
        </w:rPr>
        <w:t>re already scheduled. Technological innovation in agriculture is the key theme of the exhibition.</w:t>
      </w:r>
    </w:p>
    <w:p w14:paraId="699453B3" w14:textId="77777777" w:rsidR="003C5D75" w:rsidRPr="003C5D75" w:rsidRDefault="003C5D75" w:rsidP="003C5D75">
      <w:pPr>
        <w:jc w:val="both"/>
        <w:rPr>
          <w:rFonts w:cs="Times New Roman"/>
          <w:lang w:val="it-IT"/>
        </w:rPr>
      </w:pPr>
    </w:p>
    <w:p w14:paraId="7A5BFB93" w14:textId="0383F93D" w:rsidR="003C5D75" w:rsidRPr="003C5D75" w:rsidRDefault="00320E27" w:rsidP="003C5D75">
      <w:pPr>
        <w:jc w:val="both"/>
        <w:rPr>
          <w:rStyle w:val="Nessuno"/>
          <w:rFonts w:cs="Times New Roman"/>
          <w:lang w:val="it-IT"/>
        </w:rPr>
      </w:pPr>
      <w:r>
        <w:rPr>
          <w:rFonts w:eastAsia="Times New Roman" w:cs="Times New Roman"/>
          <w:lang w:val="en-GB"/>
        </w:rPr>
        <w:t>EDP, the first virtual exhibition dedicated to technologies for agriculture an</w:t>
      </w:r>
      <w:r>
        <w:rPr>
          <w:rFonts w:eastAsia="Times New Roman" w:cs="Times New Roman"/>
          <w:lang w:val="en-GB"/>
        </w:rPr>
        <w:t xml:space="preserve">d agricultural machinery, takes position at the starting line with a </w:t>
      </w:r>
      <w:hyperlink r:id="rId6" w:history="1">
        <w:r w:rsidRPr="00AB3A41">
          <w:rPr>
            <w:rStyle w:val="Collegamentoipertestuale"/>
            <w:rFonts w:eastAsia="Times New Roman" w:cs="Times New Roman"/>
            <w:lang w:val="en-GB"/>
          </w:rPr>
          <w:t>calendar</w:t>
        </w:r>
      </w:hyperlink>
      <w:r>
        <w:rPr>
          <w:rFonts w:eastAsia="Times New Roman" w:cs="Times New Roman"/>
          <w:lang w:val="en-GB"/>
        </w:rPr>
        <w:t xml:space="preserve"> full of initiatives and in-depth meetings. To date, more than 70 conferences, seminars and workshops have already been scheduled for the five days of the online review (from 11 to 15 November). However, their numbe</w:t>
      </w:r>
      <w:r>
        <w:rPr>
          <w:rFonts w:eastAsia="Times New Roman" w:cs="Times New Roman"/>
          <w:lang w:val="en-GB"/>
        </w:rPr>
        <w:t>r is set to grow further in the coming days, according to FederUnacoma, the federation of agricultural machinery, which is the direct organizer of the EIMA International physical exhibition and its digital edition EDP. Promoted by industry associations, pr</w:t>
      </w:r>
      <w:r>
        <w:rPr>
          <w:rFonts w:eastAsia="Times New Roman" w:cs="Times New Roman"/>
          <w:lang w:val="en-GB"/>
        </w:rPr>
        <w:t>ofessional organizations, exhibiting industries, universities, research institutions, publishing houses, and by FederUnacoma itself, the thematic initiatives planned as part of the EDP take place remotely on the platform specially developed for the virtual</w:t>
      </w:r>
      <w:r>
        <w:rPr>
          <w:rFonts w:eastAsia="Times New Roman" w:cs="Times New Roman"/>
          <w:lang w:val="en-GB"/>
        </w:rPr>
        <w:t xml:space="preserve"> event. </w:t>
      </w:r>
      <w:hyperlink r:id="rId7" w:history="1">
        <w:r>
          <w:rPr>
            <w:rFonts w:eastAsia="Times New Roman" w:cs="Times New Roman"/>
            <w:lang w:val="en-GB"/>
          </w:rPr>
          <w:t>After registering for the event</w:t>
        </w:r>
      </w:hyperlink>
      <w:r>
        <w:rPr>
          <w:rFonts w:eastAsia="Times New Roman" w:cs="Times New Roman"/>
          <w:lang w:val="en-GB"/>
        </w:rPr>
        <w:t xml:space="preserve">, visitors can follow the events live in the four dedicated rooms, but they can also "live" them later thanks to EIMA TV, the Youtube channel of EIMA International and EDP, where all the documents and video contributions will be uploaded in real time </w:t>
      </w:r>
      <w:r>
        <w:rPr>
          <w:rFonts w:eastAsia="Times New Roman" w:cs="Times New Roman"/>
          <w:lang w:val="en-GB"/>
        </w:rPr>
        <w:t>during the showcase. EIMA TV is therefore a true video library "at a touch of your mouse"</w:t>
      </w:r>
      <w:r>
        <w:rPr>
          <w:rFonts w:eastAsia="Times New Roman" w:cs="Times New Roman"/>
          <w:i/>
          <w:iCs/>
          <w:lang w:val="en-GB"/>
        </w:rPr>
        <w:t>,</w:t>
      </w:r>
      <w:r>
        <w:rPr>
          <w:rFonts w:eastAsia="Times New Roman" w:cs="Times New Roman"/>
          <w:lang w:val="en-GB"/>
        </w:rPr>
        <w:t xml:space="preserve"> allowin</w:t>
      </w:r>
      <w:r>
        <w:rPr>
          <w:rFonts w:eastAsia="Times New Roman" w:cs="Times New Roman"/>
          <w:lang w:val="en-GB"/>
        </w:rPr>
        <w:t>g you to keep abreast of the many issues addressed during the Preview. In addition to offering the widest overview of technologies for the primary sector, EDP represents a forum for reasoning about economics and agricultural policy thanks to in-depth discu</w:t>
      </w:r>
      <w:r>
        <w:rPr>
          <w:rFonts w:eastAsia="Times New Roman" w:cs="Times New Roman"/>
          <w:lang w:val="en-GB"/>
        </w:rPr>
        <w:t>ssions that touch on a wide range of topics of interest to farmers, contractors, businesspeople, mechanical technicians, as well as students and the media. A special focus is given to the macro-theme relating to the application of digital technologies in t</w:t>
      </w:r>
      <w:r>
        <w:rPr>
          <w:rFonts w:eastAsia="Times New Roman" w:cs="Times New Roman"/>
          <w:lang w:val="en-GB"/>
        </w:rPr>
        <w:t>he agricultural field. Precision agriculture, agriculture 4.0 and IoT (the Internet of Things) are revolutionizing the primary sector, and this requires those working in this sector to update cultivation practices as well as rethink their professional role</w:t>
      </w:r>
      <w:r>
        <w:rPr>
          <w:rFonts w:eastAsia="Times New Roman" w:cs="Times New Roman"/>
          <w:lang w:val="en-GB"/>
        </w:rPr>
        <w:t xml:space="preserve">s. On the other hand, the digitization of the agricultural sector, which is already here today, will assert itself even more intensely in the near future. The need to optimize production processes in the face of growing food demand, but also to ensure the </w:t>
      </w:r>
      <w:r>
        <w:rPr>
          <w:rFonts w:eastAsia="Times New Roman" w:cs="Times New Roman"/>
          <w:lang w:val="en-GB"/>
        </w:rPr>
        <w:t>sustainable use of natural resources by reducing the environment impact as much as possible, are the main accelerators of innovation in agriculture. EDP dedicates a broad focus to the issue of the latest generation technologies with the meetings promoted b</w:t>
      </w:r>
      <w:r>
        <w:rPr>
          <w:rFonts w:eastAsia="Times New Roman" w:cs="Times New Roman"/>
          <w:lang w:val="en-GB"/>
        </w:rPr>
        <w:t>y AGIA (Associazione Giovani Imprenditori Agricoli - Young Agricultural Entrepreneurs Association) - particularly the one entitled "Agricultural mechanization in light of the European Green Deal: the winning choices for young European entrepreneurs" schedu</w:t>
      </w:r>
      <w:r>
        <w:rPr>
          <w:rFonts w:eastAsia="Times New Roman" w:cs="Times New Roman"/>
          <w:lang w:val="en-GB"/>
        </w:rPr>
        <w:t>led for Wednesday 11 November from 12:00 to 13:00 in Room1 - AEF (Agricultural Industry Electronic Foundation) and by publishing houses and specialized magazines such as Edagricole-Tecniche Nuove, Trattori, Image Line, L'Informatore Agrario, Macchine Tratt</w:t>
      </w:r>
      <w:r>
        <w:rPr>
          <w:rFonts w:eastAsia="Times New Roman" w:cs="Times New Roman"/>
          <w:lang w:val="en-GB"/>
        </w:rPr>
        <w:t xml:space="preserve">ori, which already have scheduled many events on the subject. </w:t>
      </w:r>
    </w:p>
    <w:p w14:paraId="35CF38C7" w14:textId="77777777" w:rsidR="003C5D75" w:rsidRPr="003C5D75" w:rsidRDefault="00320E27" w:rsidP="003C5D75">
      <w:pPr>
        <w:jc w:val="both"/>
        <w:rPr>
          <w:rFonts w:cs="Times New Roman"/>
          <w:lang w:val="it-IT"/>
        </w:rPr>
      </w:pPr>
      <w:r>
        <w:rPr>
          <w:rStyle w:val="Nessuno"/>
          <w:rFonts w:eastAsia="Times New Roman" w:cs="Times New Roman"/>
          <w:lang w:val="en-GB"/>
        </w:rPr>
        <w:lastRenderedPageBreak/>
        <w:t>Innovation is also at the centre of the webinars of EIMA Campus, the forum promoted by FederUnacoma - in collabora</w:t>
      </w:r>
      <w:r>
        <w:rPr>
          <w:rStyle w:val="Nessuno"/>
          <w:rFonts w:eastAsia="Times New Roman" w:cs="Times New Roman"/>
          <w:lang w:val="en-GB"/>
        </w:rPr>
        <w:t xml:space="preserve">tion with AIIA - between industries, universities and research centres with the aim of supporting companies in developing increasingly innovative products and services and to help them access highly qualified laboratories and human resources. To this end, </w:t>
      </w:r>
      <w:r>
        <w:rPr>
          <w:rStyle w:val="Nessuno"/>
          <w:rFonts w:eastAsia="Times New Roman" w:cs="Times New Roman"/>
          <w:lang w:val="en-GB"/>
        </w:rPr>
        <w:t>major contributions are being made - among others - by the universities of Milan, Palermo, Florence, Bolzano, Padua and Reggio Emilia and by the Universities of Marche, Tuscia and Umbria. Sustainability is the central theme of the meetings organized by Ita</w:t>
      </w:r>
      <w:r>
        <w:rPr>
          <w:rStyle w:val="Nessuno"/>
          <w:rFonts w:eastAsia="Times New Roman" w:cs="Times New Roman"/>
          <w:lang w:val="en-GB"/>
        </w:rPr>
        <w:t>bia (Italian Biomass Association), which devote ample space to renewable energy in agriculture.</w:t>
      </w:r>
    </w:p>
    <w:p w14:paraId="69C2063A" w14:textId="77777777" w:rsidR="003C5D75" w:rsidRPr="003C5D75" w:rsidRDefault="00320E27" w:rsidP="003C5D75">
      <w:pPr>
        <w:jc w:val="both"/>
        <w:rPr>
          <w:rFonts w:cs="Times New Roman"/>
          <w:lang w:val="it-IT"/>
        </w:rPr>
      </w:pPr>
      <w:r>
        <w:rPr>
          <w:rFonts w:eastAsia="Times New Roman" w:cs="Times New Roman"/>
          <w:lang w:val="en-GB"/>
        </w:rPr>
        <w:t>Another salient issue of EDP relates to the landscape of the world agricultural m</w:t>
      </w:r>
      <w:r>
        <w:rPr>
          <w:rFonts w:eastAsia="Times New Roman" w:cs="Times New Roman"/>
          <w:lang w:val="en-GB"/>
        </w:rPr>
        <w:t>achinery market, which shines some lights with the first signs of recovery, but also many unknowns, especially relating to the resurgence of the pandemic in recent weeks. This will be discussed at the meeting entitled "Overview of the world agricultural me</w:t>
      </w:r>
      <w:r>
        <w:rPr>
          <w:rFonts w:eastAsia="Times New Roman" w:cs="Times New Roman"/>
          <w:lang w:val="en-GB"/>
        </w:rPr>
        <w:t xml:space="preserve">chanization market" (Wednesday 11 November, Room 1 from 16:00 to 17:00), promoted by Agrievolution, the body representing the manufacturers of the main countries. </w:t>
      </w:r>
    </w:p>
    <w:p w14:paraId="5375DA67" w14:textId="77777777" w:rsidR="003C5D75" w:rsidRPr="003C5D75" w:rsidRDefault="00320E27" w:rsidP="003C5D75">
      <w:pPr>
        <w:jc w:val="both"/>
        <w:rPr>
          <w:rFonts w:cs="Times New Roman"/>
          <w:lang w:val="it-IT"/>
        </w:rPr>
      </w:pPr>
      <w:r>
        <w:rPr>
          <w:rFonts w:eastAsia="Times New Roman" w:cs="Times New Roman"/>
          <w:lang w:val="en-GB"/>
        </w:rPr>
        <w:t>A specific sp</w:t>
      </w:r>
      <w:r>
        <w:rPr>
          <w:rFonts w:eastAsia="Times New Roman" w:cs="Times New Roman"/>
          <w:lang w:val="en-GB"/>
        </w:rPr>
        <w:t xml:space="preserve">ace of EDP - the Room Cantieri Verdi - is dedicated to the issues of green areas maintenance and urban features, with a full calendar of events promoted by the Biohabitat Foundation, due to take place throughout the entire virtual event. </w:t>
      </w:r>
    </w:p>
    <w:p w14:paraId="6B487A81" w14:textId="77777777" w:rsidR="003C5D75" w:rsidRPr="003C5D75" w:rsidRDefault="00320E27" w:rsidP="003C5D75">
      <w:pPr>
        <w:jc w:val="both"/>
        <w:rPr>
          <w:rStyle w:val="Nessuno"/>
          <w:rFonts w:cs="Times New Roman"/>
          <w:lang w:val="it-IT"/>
        </w:rPr>
      </w:pPr>
      <w:r>
        <w:rPr>
          <w:rFonts w:eastAsia="Times New Roman" w:cs="Times New Roman"/>
          <w:lang w:val="en-GB"/>
        </w:rPr>
        <w:t xml:space="preserve">Furthermore, the finalists of the Tractor of the Year 2021 will be presented during EDP, with an event held on Wednesday 11 November in the Live Area from 16:00 to 17:00. </w:t>
      </w:r>
    </w:p>
    <w:p w14:paraId="5690A5F1" w14:textId="77777777" w:rsidR="003C5D75" w:rsidRPr="003C5D75" w:rsidRDefault="003C5D75" w:rsidP="003C5D75">
      <w:pPr>
        <w:jc w:val="both"/>
        <w:rPr>
          <w:rStyle w:val="Nessuno"/>
          <w:rFonts w:cs="Times New Roman"/>
          <w:lang w:val="it-IT"/>
        </w:rPr>
      </w:pPr>
    </w:p>
    <w:p w14:paraId="063AEACB" w14:textId="77777777" w:rsidR="00384ABC" w:rsidRPr="00597979" w:rsidRDefault="00384ABC" w:rsidP="00956D01">
      <w:pPr>
        <w:jc w:val="both"/>
        <w:rPr>
          <w:rFonts w:cs="Times New Roman"/>
          <w:lang w:val="it-IT"/>
        </w:rPr>
      </w:pPr>
    </w:p>
    <w:p w14:paraId="1D4E11DD" w14:textId="77777777" w:rsidR="00EE4071" w:rsidRPr="00956D01" w:rsidRDefault="00320E27" w:rsidP="00956D01">
      <w:pPr>
        <w:jc w:val="both"/>
        <w:rPr>
          <w:rFonts w:cs="Times New Roman"/>
          <w:b/>
          <w:lang w:val="it-IT"/>
        </w:rPr>
      </w:pPr>
      <w:r>
        <w:rPr>
          <w:rFonts w:eastAsia="Times New Roman" w:cs="Times New Roman"/>
          <w:b/>
          <w:bCs/>
          <w:lang w:val="en-GB"/>
        </w:rPr>
        <w:t>Rome, 29 October 2020</w:t>
      </w:r>
    </w:p>
    <w:sectPr w:rsidR="00EE4071" w:rsidRPr="00956D01" w:rsidSect="00734D7E">
      <w:headerReference w:type="default" r:id="rId8"/>
      <w:footerReference w:type="default" r:id="rId9"/>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CDCF3" w14:textId="77777777" w:rsidR="00320E27" w:rsidRDefault="00320E27">
      <w:r>
        <w:separator/>
      </w:r>
    </w:p>
  </w:endnote>
  <w:endnote w:type="continuationSeparator" w:id="0">
    <w:p w14:paraId="2064EAFE" w14:textId="77777777" w:rsidR="00320E27" w:rsidRDefault="0032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AC154" w14:textId="77777777" w:rsidR="00A648ED" w:rsidRDefault="00A648ED">
    <w:pPr>
      <w:pStyle w:val="Pidipagina"/>
      <w:tabs>
        <w:tab w:val="clear" w:pos="9638"/>
        <w:tab w:val="right" w:pos="748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A9A41" w14:textId="77777777" w:rsidR="00320E27" w:rsidRDefault="00320E27">
      <w:r>
        <w:separator/>
      </w:r>
    </w:p>
  </w:footnote>
  <w:footnote w:type="continuationSeparator" w:id="0">
    <w:p w14:paraId="4183BA91" w14:textId="77777777" w:rsidR="00320E27" w:rsidRDefault="0032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A833" w14:textId="77777777" w:rsidR="00A648ED" w:rsidRDefault="00320E27">
    <w:pPr>
      <w:pStyle w:val="Intestazione"/>
      <w:tabs>
        <w:tab w:val="clear" w:pos="9638"/>
        <w:tab w:val="right" w:pos="7485"/>
      </w:tabs>
    </w:pPr>
    <w:sdt>
      <w:sdtPr>
        <w:id w:val="919611117"/>
        <w:docPartObj>
          <w:docPartGallery w:val="Page Numbers (Margins)"/>
          <w:docPartUnique/>
        </w:docPartObj>
      </w:sdtPr>
      <w:sdtEndPr/>
      <w:sdtContent>
        <w:r w:rsidR="00C56AF2">
          <w:rPr>
            <w:noProof/>
            <w:lang w:val="it-IT"/>
          </w:rPr>
          <mc:AlternateContent>
            <mc:Choice Requires="wps">
              <w:drawing>
                <wp:anchor distT="0" distB="0" distL="114300" distR="114300" simplePos="0" relativeHeight="251659264" behindDoc="0" locked="0" layoutInCell="0" allowOverlap="1" wp14:anchorId="4D4DF3AD" wp14:editId="4289FF3A">
                  <wp:simplePos x="0" y="0"/>
                  <wp:positionH relativeFrom="rightMargin">
                    <wp:align>right</wp:align>
                  </wp:positionH>
                  <wp:positionV relativeFrom="margin">
                    <wp:align>center</wp:align>
                  </wp:positionV>
                  <wp:extent cx="576072"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91888E8" w14:textId="77777777" w:rsidR="005D367A" w:rsidRDefault="00320E27">
                              <w:pPr>
                                <w:pBdr>
                                  <w:bottom w:val="single" w:sz="4" w:space="1" w:color="auto"/>
                                </w:pBdr>
                              </w:pPr>
                              <w:r>
                                <w:fldChar w:fldCharType="begin"/>
                              </w:r>
                              <w:r>
                                <w:instrText>PAGE   \* MERGEFORMAT</w:instrText>
                              </w:r>
                              <w:r>
                                <w:fldChar w:fldCharType="separate"/>
                              </w:r>
                              <w:r w:rsidR="001501C4" w:rsidRPr="001501C4">
                                <w:rPr>
                                  <w:noProof/>
                                  <w:lang w:val="it-IT"/>
                                </w:rPr>
                                <w:t>2</w:t>
                              </w:r>
                              <w:r>
                                <w:fldChar w:fldCharType="end"/>
                              </w:r>
                            </w:p>
                          </w:txbxContent>
                        </wps:txbx>
                        <wps:bodyPr rot="0" vert="horz" wrap="square" anchor="t" anchorCtr="0" upright="1"/>
                      </wps:wsp>
                    </a:graphicData>
                  </a:graphic>
                  <wp14:sizeRelH relativeFrom="rightMargin">
                    <wp14:pctWidth>80000</wp14:pctWidth>
                  </wp14:sizeRelH>
                  <wp14:sizeRelV relativeFrom="page">
                    <wp14:pctHeight>0</wp14:pctHeight>
                  </wp14:sizeRelV>
                </wp:anchor>
              </w:drawing>
            </mc:Choice>
            <mc:Fallback>
              <w:pict>
                <v:rect w14:anchorId="4D4DF3AD" id="Rettangolo 4" o:spid="_x0000_s1026" style="position:absolute;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" o:allowincell="f" stroked="f">
                  <v:textbox>
                    <w:txbxContent>
                      <w:p w14:paraId="091888E8" w14:textId="77777777" w:rsidR="005D367A" w:rsidRDefault="00320E27">
                        <w:pPr>
                          <w:pBdr>
                            <w:bottom w:val="single" w:sz="4" w:space="1" w:color="auto"/>
                          </w:pBdr>
                        </w:pPr>
                        <w:r>
                          <w:fldChar w:fldCharType="begin"/>
                        </w:r>
                        <w:r>
                          <w:instrText>PAGE   \* MERGEFORMAT</w:instrText>
                        </w:r>
                        <w:r>
                          <w:fldChar w:fldCharType="separate"/>
                        </w:r>
                        <w:r w:rsidR="001501C4" w:rsidRPr="001501C4">
                          <w:rPr>
                            <w:noProof/>
                            <w:lang w:val="it-IT"/>
                          </w:rPr>
                          <w:t>2</w:t>
                        </w:r>
                        <w:r>
                          <w:fldChar w:fldCharType="end"/>
                        </w:r>
                      </w:p>
                    </w:txbxContent>
                  </v:textbox>
                  <w10:wrap anchorx="margin" anchory="margin"/>
                </v:rect>
              </w:pict>
            </mc:Fallback>
          </mc:AlternateContent>
        </w:r>
      </w:sdtContent>
    </w:sdt>
    <w:r w:rsidR="002A22CF">
      <w:rPr>
        <w:noProof/>
        <w:lang w:val="it-IT"/>
      </w:rPr>
      <w:drawing>
        <wp:anchor distT="152400" distB="152400" distL="152400" distR="152400" simplePos="0" relativeHeight="251658240" behindDoc="1" locked="0" layoutInCell="1" allowOverlap="1" wp14:anchorId="43112392" wp14:editId="038E672B">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236950974"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05D41"/>
    <w:rsid w:val="00013A13"/>
    <w:rsid w:val="00017C11"/>
    <w:rsid w:val="00042FF7"/>
    <w:rsid w:val="000B5004"/>
    <w:rsid w:val="000F18CF"/>
    <w:rsid w:val="00123B4C"/>
    <w:rsid w:val="00131BB4"/>
    <w:rsid w:val="00135956"/>
    <w:rsid w:val="00137BA5"/>
    <w:rsid w:val="001501C4"/>
    <w:rsid w:val="001513DE"/>
    <w:rsid w:val="00170F91"/>
    <w:rsid w:val="001A583B"/>
    <w:rsid w:val="001D20E1"/>
    <w:rsid w:val="001E1BF4"/>
    <w:rsid w:val="001E2CC5"/>
    <w:rsid w:val="002023C3"/>
    <w:rsid w:val="00207D3F"/>
    <w:rsid w:val="00212C38"/>
    <w:rsid w:val="00214015"/>
    <w:rsid w:val="002210C0"/>
    <w:rsid w:val="00245150"/>
    <w:rsid w:val="0024770A"/>
    <w:rsid w:val="00260DD7"/>
    <w:rsid w:val="00270F01"/>
    <w:rsid w:val="00281272"/>
    <w:rsid w:val="002A22CF"/>
    <w:rsid w:val="002C443C"/>
    <w:rsid w:val="00300A20"/>
    <w:rsid w:val="00320E27"/>
    <w:rsid w:val="00383092"/>
    <w:rsid w:val="00384ABC"/>
    <w:rsid w:val="003C5D75"/>
    <w:rsid w:val="003E2242"/>
    <w:rsid w:val="004044F6"/>
    <w:rsid w:val="00412A06"/>
    <w:rsid w:val="00413888"/>
    <w:rsid w:val="00453334"/>
    <w:rsid w:val="0045445D"/>
    <w:rsid w:val="00475643"/>
    <w:rsid w:val="004F0002"/>
    <w:rsid w:val="004F146F"/>
    <w:rsid w:val="0050142E"/>
    <w:rsid w:val="0057112D"/>
    <w:rsid w:val="00597979"/>
    <w:rsid w:val="005B4BB4"/>
    <w:rsid w:val="005C2888"/>
    <w:rsid w:val="005D367A"/>
    <w:rsid w:val="005F6863"/>
    <w:rsid w:val="0060574B"/>
    <w:rsid w:val="0060761D"/>
    <w:rsid w:val="00625E6E"/>
    <w:rsid w:val="006459CC"/>
    <w:rsid w:val="00650D41"/>
    <w:rsid w:val="00655B58"/>
    <w:rsid w:val="00665648"/>
    <w:rsid w:val="006A16C5"/>
    <w:rsid w:val="006A5099"/>
    <w:rsid w:val="00706FE2"/>
    <w:rsid w:val="00716FB5"/>
    <w:rsid w:val="00723DC5"/>
    <w:rsid w:val="00734D7E"/>
    <w:rsid w:val="00762923"/>
    <w:rsid w:val="00772F5C"/>
    <w:rsid w:val="0077325E"/>
    <w:rsid w:val="007757C8"/>
    <w:rsid w:val="007835E9"/>
    <w:rsid w:val="00783942"/>
    <w:rsid w:val="007846E0"/>
    <w:rsid w:val="00796724"/>
    <w:rsid w:val="007A3EA6"/>
    <w:rsid w:val="007A6A83"/>
    <w:rsid w:val="007B146C"/>
    <w:rsid w:val="007B675A"/>
    <w:rsid w:val="007C248E"/>
    <w:rsid w:val="007D1EEA"/>
    <w:rsid w:val="007D5475"/>
    <w:rsid w:val="007E38F5"/>
    <w:rsid w:val="007E4E18"/>
    <w:rsid w:val="008046ED"/>
    <w:rsid w:val="00804A52"/>
    <w:rsid w:val="00817848"/>
    <w:rsid w:val="008368BE"/>
    <w:rsid w:val="0083722C"/>
    <w:rsid w:val="00850CBD"/>
    <w:rsid w:val="008525A6"/>
    <w:rsid w:val="00872147"/>
    <w:rsid w:val="008737A7"/>
    <w:rsid w:val="008A09A7"/>
    <w:rsid w:val="008A21A9"/>
    <w:rsid w:val="008A2DEC"/>
    <w:rsid w:val="008D16FA"/>
    <w:rsid w:val="00924F09"/>
    <w:rsid w:val="0093113F"/>
    <w:rsid w:val="009336CD"/>
    <w:rsid w:val="00933DC8"/>
    <w:rsid w:val="00954265"/>
    <w:rsid w:val="00956D01"/>
    <w:rsid w:val="00957CCC"/>
    <w:rsid w:val="00965598"/>
    <w:rsid w:val="00997AD1"/>
    <w:rsid w:val="009C1E1E"/>
    <w:rsid w:val="009E17CC"/>
    <w:rsid w:val="009E1A0C"/>
    <w:rsid w:val="009E40E7"/>
    <w:rsid w:val="009E507E"/>
    <w:rsid w:val="00A31004"/>
    <w:rsid w:val="00A32381"/>
    <w:rsid w:val="00A648ED"/>
    <w:rsid w:val="00A94513"/>
    <w:rsid w:val="00A95459"/>
    <w:rsid w:val="00AA218E"/>
    <w:rsid w:val="00AA608B"/>
    <w:rsid w:val="00AB3A41"/>
    <w:rsid w:val="00AC4DED"/>
    <w:rsid w:val="00AE49F8"/>
    <w:rsid w:val="00B03650"/>
    <w:rsid w:val="00B342A8"/>
    <w:rsid w:val="00B479AC"/>
    <w:rsid w:val="00B71FB1"/>
    <w:rsid w:val="00B91CAE"/>
    <w:rsid w:val="00B9471A"/>
    <w:rsid w:val="00BB293B"/>
    <w:rsid w:val="00BF44E6"/>
    <w:rsid w:val="00C110A3"/>
    <w:rsid w:val="00C21816"/>
    <w:rsid w:val="00C273B3"/>
    <w:rsid w:val="00C452F1"/>
    <w:rsid w:val="00C45BD6"/>
    <w:rsid w:val="00C56AF2"/>
    <w:rsid w:val="00CA73F6"/>
    <w:rsid w:val="00CB1700"/>
    <w:rsid w:val="00D118C6"/>
    <w:rsid w:val="00D87F60"/>
    <w:rsid w:val="00D87FC2"/>
    <w:rsid w:val="00D95F9D"/>
    <w:rsid w:val="00DA355F"/>
    <w:rsid w:val="00DA3C91"/>
    <w:rsid w:val="00DB6F96"/>
    <w:rsid w:val="00DD6738"/>
    <w:rsid w:val="00E21FBB"/>
    <w:rsid w:val="00E34D37"/>
    <w:rsid w:val="00E352B7"/>
    <w:rsid w:val="00E37568"/>
    <w:rsid w:val="00E47910"/>
    <w:rsid w:val="00E53964"/>
    <w:rsid w:val="00E614ED"/>
    <w:rsid w:val="00E90260"/>
    <w:rsid w:val="00EE4071"/>
    <w:rsid w:val="00F1778E"/>
    <w:rsid w:val="00F575EB"/>
    <w:rsid w:val="00F94941"/>
    <w:rsid w:val="00FA4350"/>
    <w:rsid w:val="00FA66C7"/>
    <w:rsid w:val="00FC2834"/>
    <w:rsid w:val="00FC2C3E"/>
    <w:rsid w:val="00FD005C"/>
    <w:rsid w:val="00FE2172"/>
    <w:rsid w:val="00FE2198"/>
    <w:rsid w:val="00FE4B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3EAF"/>
  <w15:docId w15:val="{7111B336-FAC7-497B-9205-D0DA1AC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 w:type="character" w:styleId="Menzionenonrisolta">
    <w:name w:val="Unresolved Mention"/>
    <w:basedOn w:val="Carpredefinitoparagrafo"/>
    <w:uiPriority w:val="99"/>
    <w:semiHidden/>
    <w:unhideWhenUsed/>
    <w:rsid w:val="00AB3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ima.it/it/visitatori/user-form.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ma.it/en/edp-2020-program.ph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801</Words>
  <Characters>4571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4</cp:revision>
  <cp:lastPrinted>2020-01-29T12:35:00Z</cp:lastPrinted>
  <dcterms:created xsi:type="dcterms:W3CDTF">2020-10-29T16:01:00Z</dcterms:created>
  <dcterms:modified xsi:type="dcterms:W3CDTF">2020-10-29T18:22:00Z</dcterms:modified>
</cp:coreProperties>
</file>